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hint="eastAsia"/>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bookmarkStart w:id="2" w:name="_GoBack"/>
      <w:bookmarkEnd w:id="2"/>
      <w:r w:rsidR="00AE16DB">
        <w:rPr>
          <w:rFonts w:eastAsia="宋体"/>
          <w:lang w:eastAsia="zh-CN"/>
        </w:rPr>
        <w:t xml:space="preserve"> </w:t>
      </w:r>
      <w:r w:rsidR="001779FB" w:rsidRPr="001779FB">
        <w:t>R4-2010816</w:t>
      </w:r>
    </w:p>
    <w:p w:rsidR="00675C27" w:rsidRPr="00444A16" w:rsidRDefault="00BD3E28" w:rsidP="00F71A33">
      <w:pPr>
        <w:pStyle w:val="a1"/>
        <w:rPr>
          <w:rFonts w:eastAsia="宋体" w:hint="eastAsia"/>
          <w:lang w:eastAsia="zh-CN"/>
        </w:rPr>
      </w:pPr>
      <w:r w:rsidRPr="00BD3E28">
        <w:rPr>
          <w:rFonts w:eastAsia="宋体"/>
          <w:lang w:eastAsia="zh-CN"/>
        </w:rPr>
        <w:t>Electronic Meeting, 17-28 Aug.,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7B10CD">
      <w:pPr>
        <w:spacing w:after="120"/>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C31DB">
        <w:rPr>
          <w:rFonts w:ascii="Arial" w:hAnsi="Arial" w:cs="Arial"/>
          <w:sz w:val="22"/>
        </w:rPr>
        <w:t xml:space="preserve">On FDD TDD </w:t>
      </w:r>
      <w:r w:rsidR="00FC31DB" w:rsidRPr="00FC31DB">
        <w:rPr>
          <w:rFonts w:ascii="Arial" w:hAnsi="Arial" w:cs="Arial"/>
          <w:sz w:val="22"/>
        </w:rPr>
        <w:t>EN-DC HPUE</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1779FB" w:rsidRPr="001779FB">
        <w:rPr>
          <w:rFonts w:ascii="Arial" w:hAnsi="Arial" w:cs="Arial"/>
          <w:sz w:val="22"/>
        </w:rPr>
        <w:t>9.2.1</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4B412D" w:rsidRDefault="00E77A60" w:rsidP="00506149">
      <w:r>
        <w:rPr>
          <w:rFonts w:hint="eastAsia"/>
        </w:rPr>
        <w:t>FDD</w:t>
      </w:r>
      <w:r>
        <w:t>+TDD EN-DC HPUE was discussed in RAN#88e and tried to make a conclusion for the WI, however, no consensus was reached during the meeting [1</w:t>
      </w:r>
      <w:proofErr w:type="gramStart"/>
      <w:r>
        <w:t>][</w:t>
      </w:r>
      <w:proofErr w:type="gramEnd"/>
      <w:r>
        <w:t xml:space="preserve">2]. </w:t>
      </w:r>
    </w:p>
    <w:p w:rsidR="00E77A60" w:rsidRDefault="00E77A60" w:rsidP="00506149">
      <w:pPr>
        <w:rPr>
          <w:rFonts w:hint="eastAsia"/>
        </w:rPr>
      </w:pPr>
      <w:r>
        <w:t xml:space="preserve">This contribution provides further consideration based on the proposed options available now, and proposal is also provided in order to close the WI on time. </w:t>
      </w:r>
    </w:p>
    <w:p w:rsidR="00062E8E" w:rsidRDefault="00062E8E" w:rsidP="00F23E96">
      <w:pPr>
        <w:pStyle w:val="Heading1"/>
        <w:spacing w:after="240"/>
        <w:rPr>
          <w:rFonts w:eastAsia="宋体"/>
          <w:lang w:eastAsia="zh-CN"/>
        </w:rPr>
      </w:pPr>
      <w:r>
        <w:rPr>
          <w:rFonts w:eastAsia="宋体" w:hint="eastAsia"/>
          <w:lang w:eastAsia="zh-CN"/>
        </w:rPr>
        <w:t>Discussion</w:t>
      </w:r>
    </w:p>
    <w:p w:rsidR="007B10CD" w:rsidRDefault="007B10CD" w:rsidP="007B10CD">
      <w:pPr>
        <w:spacing w:before="120" w:after="120"/>
        <w:rPr>
          <w:lang w:val="en-US"/>
        </w:rPr>
      </w:pPr>
      <w:r>
        <w:rPr>
          <w:lang w:val="en-US"/>
        </w:rPr>
        <w:t>There are two remaining issues for FDD+TDD EN-DC HPUE, i.e.</w:t>
      </w:r>
    </w:p>
    <w:p w:rsidR="006C4547" w:rsidRPr="00233E0C" w:rsidRDefault="007B10CD" w:rsidP="007B10CD">
      <w:pPr>
        <w:numPr>
          <w:ilvl w:val="0"/>
          <w:numId w:val="46"/>
        </w:numPr>
        <w:spacing w:after="0"/>
        <w:rPr>
          <w:b/>
          <w:lang w:val="en-US"/>
        </w:rPr>
      </w:pPr>
      <w:r w:rsidRPr="00233E0C">
        <w:rPr>
          <w:b/>
          <w:lang w:val="en-US"/>
        </w:rPr>
        <w:t xml:space="preserve"> What’s the solution when duty cycle capability is absent?</w:t>
      </w:r>
    </w:p>
    <w:p w:rsidR="00751F4C" w:rsidRPr="00233E0C" w:rsidRDefault="007B10CD" w:rsidP="007B10CD">
      <w:pPr>
        <w:numPr>
          <w:ilvl w:val="0"/>
          <w:numId w:val="46"/>
        </w:numPr>
        <w:spacing w:after="0"/>
        <w:rPr>
          <w:b/>
          <w:lang w:val="en-US"/>
        </w:rPr>
      </w:pPr>
      <w:r w:rsidRPr="00233E0C">
        <w:rPr>
          <w:b/>
          <w:lang w:val="en-US"/>
        </w:rPr>
        <w:t xml:space="preserve"> What’s the solution </w:t>
      </w:r>
      <w:r w:rsidRPr="00233E0C">
        <w:rPr>
          <w:rFonts w:hint="eastAsia"/>
          <w:b/>
          <w:lang w:val="en-US"/>
        </w:rPr>
        <w:t>when the UL EN-DC scheduling exceeds the UE capability</w:t>
      </w:r>
    </w:p>
    <w:p w:rsidR="007B10CD" w:rsidRDefault="007B10CD" w:rsidP="007B10CD">
      <w:pPr>
        <w:spacing w:before="120"/>
        <w:rPr>
          <w:lang w:val="en-US"/>
        </w:rPr>
      </w:pPr>
      <w:r>
        <w:rPr>
          <w:lang w:val="en-US"/>
        </w:rPr>
        <w:t>For the first issue, there are four options in last RAN4 meeting</w:t>
      </w:r>
      <w:r w:rsidR="006F5524">
        <w:rPr>
          <w:lang w:val="en-US"/>
        </w:rPr>
        <w:t xml:space="preserve"> [3]</w:t>
      </w:r>
      <w:r>
        <w:rPr>
          <w:lang w:val="en-US"/>
        </w:rPr>
        <w:t xml:space="preserve">, </w:t>
      </w:r>
    </w:p>
    <w:p w:rsidR="00751F4C" w:rsidRPr="007B10CD" w:rsidRDefault="007B10CD" w:rsidP="007B10CD">
      <w:pPr>
        <w:numPr>
          <w:ilvl w:val="0"/>
          <w:numId w:val="45"/>
        </w:numPr>
        <w:spacing w:after="0"/>
        <w:ind w:left="714" w:hanging="357"/>
        <w:rPr>
          <w:lang w:val="en-US"/>
        </w:rPr>
      </w:pPr>
      <w:r w:rsidRPr="007B10CD">
        <w:rPr>
          <w:rFonts w:hint="eastAsia"/>
          <w:lang w:val="en-US"/>
        </w:rPr>
        <w:t xml:space="preserve">Option 1: Using default value of </w:t>
      </w:r>
      <w:proofErr w:type="spellStart"/>
      <w:r w:rsidRPr="007B10CD">
        <w:rPr>
          <w:rFonts w:hint="eastAsia"/>
          <w:lang w:val="en-US"/>
        </w:rPr>
        <w:t>maxNRDuty</w:t>
      </w:r>
      <w:proofErr w:type="spellEnd"/>
      <w:r w:rsidRPr="007B10CD">
        <w:rPr>
          <w:rFonts w:hint="eastAsia"/>
          <w:lang w:val="en-US"/>
        </w:rPr>
        <w:t xml:space="preserve"> for two cases of LTE and NR power combination </w:t>
      </w:r>
    </w:p>
    <w:p w:rsidR="00751F4C" w:rsidRPr="007B10CD" w:rsidRDefault="00B53DB7" w:rsidP="007B10CD">
      <w:pPr>
        <w:numPr>
          <w:ilvl w:val="0"/>
          <w:numId w:val="45"/>
        </w:numPr>
        <w:spacing w:after="0"/>
        <w:ind w:left="714" w:hanging="357"/>
        <w:rPr>
          <w:lang w:val="en-US"/>
        </w:rPr>
      </w:pPr>
      <w:r>
        <w:rPr>
          <w:rFonts w:hint="eastAsia"/>
          <w:lang w:val="en-US"/>
        </w:rPr>
        <w:t>Option 2: Following</w:t>
      </w:r>
      <w:r w:rsidR="007B10CD" w:rsidRPr="007B10CD">
        <w:rPr>
          <w:rFonts w:hint="eastAsia"/>
          <w:lang w:val="en-US"/>
        </w:rPr>
        <w:t>“</w:t>
      </w:r>
      <w:r w:rsidR="007B10CD" w:rsidRPr="007B10CD">
        <w:rPr>
          <w:rFonts w:hint="eastAsia"/>
          <w:lang w:val="en-US"/>
        </w:rPr>
        <w:t>blind</w:t>
      </w:r>
      <w:r w:rsidR="007B10CD" w:rsidRPr="007B10CD">
        <w:rPr>
          <w:rFonts w:hint="eastAsia"/>
          <w:lang w:val="en-US"/>
        </w:rPr>
        <w:t>”</w:t>
      </w:r>
      <w:r w:rsidR="007B10CD" w:rsidRPr="007B10CD">
        <w:rPr>
          <w:rFonts w:hint="eastAsia"/>
          <w:lang w:val="en-US"/>
        </w:rPr>
        <w:t>scheme by reduced power (P</w:t>
      </w:r>
      <w:r w:rsidR="007B10CD" w:rsidRPr="007B10CD">
        <w:rPr>
          <w:rFonts w:hint="eastAsia"/>
          <w:vertAlign w:val="subscript"/>
          <w:lang w:val="en-US"/>
        </w:rPr>
        <w:t>LTE</w:t>
      </w:r>
      <w:r w:rsidR="007B10CD" w:rsidRPr="007B10CD">
        <w:rPr>
          <w:rFonts w:hint="eastAsia"/>
          <w:lang w:val="en-US"/>
        </w:rPr>
        <w:t xml:space="preserve">) and use of the common UL-DL patterns on the TDD CG </w:t>
      </w:r>
    </w:p>
    <w:p w:rsidR="00751F4C" w:rsidRPr="007B10CD" w:rsidRDefault="007B10CD" w:rsidP="007B10CD">
      <w:pPr>
        <w:numPr>
          <w:ilvl w:val="0"/>
          <w:numId w:val="45"/>
        </w:numPr>
        <w:spacing w:after="0"/>
        <w:ind w:left="714" w:hanging="357"/>
        <w:rPr>
          <w:lang w:val="en-US"/>
        </w:rPr>
      </w:pPr>
      <w:r w:rsidRPr="007B10CD">
        <w:rPr>
          <w:rFonts w:hint="eastAsia"/>
          <w:lang w:val="en-US"/>
        </w:rPr>
        <w:t>Option 3: Assume</w:t>
      </w:r>
      <w:r w:rsidRPr="007B10CD">
        <w:rPr>
          <w:rFonts w:hint="eastAsia"/>
          <w:lang w:val="en-US"/>
        </w:rPr>
        <w:t>“</w:t>
      </w:r>
      <w:r w:rsidRPr="007B10CD">
        <w:rPr>
          <w:rFonts w:hint="eastAsia"/>
          <w:lang w:val="en-US"/>
        </w:rPr>
        <w:t>Full duty support</w:t>
      </w:r>
      <w:r w:rsidR="00B53DB7">
        <w:rPr>
          <w:lang w:val="en-US"/>
        </w:rPr>
        <w:t xml:space="preserve">” </w:t>
      </w:r>
      <w:r w:rsidRPr="007B10CD">
        <w:rPr>
          <w:rFonts w:hint="eastAsia"/>
          <w:lang w:val="en-US"/>
        </w:rPr>
        <w:t>when capability parameters are missing</w:t>
      </w:r>
    </w:p>
    <w:p w:rsidR="00751F4C" w:rsidRDefault="007B10CD" w:rsidP="007B10CD">
      <w:pPr>
        <w:numPr>
          <w:ilvl w:val="0"/>
          <w:numId w:val="45"/>
        </w:numPr>
        <w:spacing w:after="0"/>
        <w:ind w:left="714" w:hanging="357"/>
        <w:rPr>
          <w:lang w:val="en-US"/>
        </w:rPr>
      </w:pPr>
      <w:r w:rsidRPr="007B10CD">
        <w:rPr>
          <w:rFonts w:hint="eastAsia"/>
          <w:lang w:val="en-US"/>
        </w:rPr>
        <w:t xml:space="preserve">Option 4: Assume </w:t>
      </w:r>
      <w:r w:rsidRPr="007B10CD">
        <w:rPr>
          <w:rFonts w:hint="eastAsia"/>
          <w:lang w:val="en-US"/>
        </w:rPr>
        <w:t>“</w:t>
      </w:r>
      <w:r w:rsidRPr="007B10CD">
        <w:rPr>
          <w:rFonts w:hint="eastAsia"/>
          <w:lang w:val="en-US"/>
        </w:rPr>
        <w:t>UE-based</w:t>
      </w:r>
      <w:r>
        <w:rPr>
          <w:lang w:val="en-US"/>
        </w:rPr>
        <w:t xml:space="preserve">” </w:t>
      </w:r>
      <w:r w:rsidRPr="007B10CD">
        <w:rPr>
          <w:rFonts w:hint="eastAsia"/>
          <w:lang w:val="en-US"/>
        </w:rPr>
        <w:t>SAR management when capability parameters are absent.</w:t>
      </w:r>
    </w:p>
    <w:p w:rsidR="007B10CD" w:rsidRPr="007B10CD" w:rsidRDefault="007B10CD" w:rsidP="007B10CD">
      <w:pPr>
        <w:spacing w:after="0"/>
        <w:rPr>
          <w:lang w:val="en-US"/>
        </w:rPr>
      </w:pPr>
      <w:r>
        <w:rPr>
          <w:lang w:val="en-US"/>
        </w:rPr>
        <w:t>In our view, option 3 and option 4 are essentially the same solution, both are dependent on UE implementation</w:t>
      </w:r>
      <w:r w:rsidR="00B53DB7">
        <w:rPr>
          <w:lang w:val="en-US"/>
        </w:rPr>
        <w:t xml:space="preserve"> and no special standard effort is needed</w:t>
      </w:r>
      <w:r>
        <w:rPr>
          <w:lang w:val="en-US"/>
        </w:rPr>
        <w:t>. It is also noticed that a proposal in last RAN meeting suggested to</w:t>
      </w:r>
      <w:r w:rsidRPr="007B10CD">
        <w:rPr>
          <w:lang w:val="en-US"/>
        </w:rPr>
        <w:t xml:space="preserve"> </w:t>
      </w:r>
      <w:r>
        <w:rPr>
          <w:lang w:val="en-US"/>
        </w:rPr>
        <w:t>“</w:t>
      </w:r>
      <w:r w:rsidRPr="007B10CD">
        <w:rPr>
          <w:lang w:val="en-US"/>
        </w:rPr>
        <w:t>Consider the Rel-15 UE-based (P-MPR) control as baseline for Rel-16</w:t>
      </w:r>
      <w:r>
        <w:rPr>
          <w:lang w:val="en-US"/>
        </w:rPr>
        <w:t>”</w:t>
      </w:r>
      <w:r w:rsidR="006F5524">
        <w:rPr>
          <w:lang w:val="en-US"/>
        </w:rPr>
        <w:t xml:space="preserve"> [4]</w:t>
      </w:r>
      <w:r>
        <w:rPr>
          <w:lang w:val="en-US"/>
        </w:rPr>
        <w:t xml:space="preserve">. Since it is also a solution </w:t>
      </w:r>
      <w:r w:rsidR="00B53DB7">
        <w:rPr>
          <w:lang w:val="en-US"/>
        </w:rPr>
        <w:t xml:space="preserve">which is up to UE implementation to comply with the SAR requirement, we see no difference compared to option 3 and option 4. </w:t>
      </w:r>
    </w:p>
    <w:p w:rsidR="007B10CD" w:rsidRDefault="00B53DB7" w:rsidP="00B53DB7">
      <w:pPr>
        <w:spacing w:before="120"/>
        <w:rPr>
          <w:lang w:val="en-US"/>
        </w:rPr>
      </w:pPr>
      <w:r>
        <w:rPr>
          <w:lang w:val="en-US"/>
        </w:rPr>
        <w:t>Before moving forward, we should make it clear that the SAR solutions discussed in Rel-16 for EN-DC HPUE are only optimization to fulfill the SAR requirement, which doesn’t mean that a Rel-15 UE cannot support EN-DC HPUE if the only spec impact issue is for SAR. That’s also the understanding for TDD-TDD EN-DC HPUE, which agreed to be release independent from Rel-15 though the duty cycle capability was defined in Rel-16. In that sense, the baseline SAR solution is always the UE based one, e.g. P-MPR.</w:t>
      </w:r>
    </w:p>
    <w:p w:rsidR="007D4A42" w:rsidRPr="007D4A42" w:rsidRDefault="007D4A42" w:rsidP="00B53DB7">
      <w:pPr>
        <w:spacing w:before="120"/>
        <w:rPr>
          <w:b/>
          <w:i/>
          <w:lang w:val="en-US"/>
        </w:rPr>
      </w:pPr>
      <w:r w:rsidRPr="007D4A42">
        <w:rPr>
          <w:b/>
          <w:i/>
          <w:lang w:val="en-US"/>
        </w:rPr>
        <w:t xml:space="preserve">Observation 1: </w:t>
      </w:r>
      <w:r>
        <w:rPr>
          <w:b/>
          <w:i/>
          <w:lang w:val="en-US"/>
        </w:rPr>
        <w:t>SAR solutions discussed in Rel-16 EN-DC HPUE WIs is optimization rather than the only solutions, which does not exclud</w:t>
      </w:r>
      <w:r w:rsidR="002B7D33">
        <w:rPr>
          <w:b/>
          <w:i/>
          <w:lang w:val="en-US"/>
        </w:rPr>
        <w:t xml:space="preserve">e </w:t>
      </w:r>
      <w:r>
        <w:rPr>
          <w:b/>
          <w:i/>
          <w:lang w:val="en-US"/>
        </w:rPr>
        <w:t xml:space="preserve">UE based solution to support EN-DC HPUE. </w:t>
      </w:r>
    </w:p>
    <w:p w:rsidR="006F5524" w:rsidRDefault="006F5524" w:rsidP="00B53DB7">
      <w:pPr>
        <w:spacing w:before="120"/>
        <w:rPr>
          <w:lang w:val="en-US"/>
        </w:rPr>
      </w:pPr>
      <w:r>
        <w:rPr>
          <w:lang w:val="en-US"/>
        </w:rPr>
        <w:t xml:space="preserve">For the “blind” scheme, as described in [5], </w:t>
      </w:r>
      <w:r w:rsidR="00FF7E57">
        <w:rPr>
          <w:lang w:val="en-US"/>
        </w:rPr>
        <w:t>t</w:t>
      </w:r>
      <w:r w:rsidR="00FF7E57">
        <w:rPr>
          <w:rFonts w:hint="eastAsia"/>
          <w:lang w:val="en-US"/>
        </w:rPr>
        <w:t>he</w:t>
      </w:r>
      <w:r w:rsidR="00FF7E57" w:rsidRPr="00FF7E57">
        <w:rPr>
          <w:rFonts w:hint="eastAsia"/>
          <w:lang w:val="en-US"/>
        </w:rPr>
        <w:t>“</w:t>
      </w:r>
      <w:r w:rsidR="00FF7E57" w:rsidRPr="00FF7E57">
        <w:rPr>
          <w:rFonts w:hint="eastAsia"/>
          <w:lang w:val="en-US"/>
        </w:rPr>
        <w:t>blind scheme</w:t>
      </w:r>
      <w:r w:rsidR="00FF7E57" w:rsidRPr="00FF7E57">
        <w:rPr>
          <w:rFonts w:hint="eastAsia"/>
          <w:lang w:val="en-US"/>
        </w:rPr>
        <w:t>”</w:t>
      </w:r>
      <w:r w:rsidR="00FF7E57" w:rsidRPr="00FF7E57">
        <w:rPr>
          <w:rFonts w:hint="eastAsia"/>
          <w:lang w:val="en-US"/>
        </w:rPr>
        <w:t xml:space="preserve">is designed to meet the requirement that total EN-DC power averaged over a radio frame is </w:t>
      </w:r>
      <w:r w:rsidR="00FF7E57" w:rsidRPr="00FF7E57">
        <w:rPr>
          <w:rFonts w:hint="eastAsia"/>
          <w:lang w:val="en-US"/>
        </w:rPr>
        <w:t>≤</w:t>
      </w:r>
      <w:r w:rsidR="00FF7E57" w:rsidRPr="00FF7E57">
        <w:rPr>
          <w:rFonts w:hint="eastAsia"/>
          <w:lang w:val="en-US"/>
        </w:rPr>
        <w:t xml:space="preserve"> 23 </w:t>
      </w:r>
      <w:proofErr w:type="spellStart"/>
      <w:r w:rsidR="00FF7E57" w:rsidRPr="00FF7E57">
        <w:rPr>
          <w:rFonts w:hint="eastAsia"/>
          <w:lang w:val="en-US"/>
        </w:rPr>
        <w:t>dBm</w:t>
      </w:r>
      <w:proofErr w:type="spellEnd"/>
      <w:r w:rsidR="00FF7E57" w:rsidRPr="00FF7E57">
        <w:rPr>
          <w:rFonts w:hint="eastAsia"/>
          <w:lang w:val="en-US"/>
        </w:rPr>
        <w:t>.</w:t>
      </w:r>
      <w:r w:rsidR="00FF7E57">
        <w:rPr>
          <w:lang w:val="en-US"/>
        </w:rPr>
        <w:t xml:space="preserve"> However, SAR is not an issue a UE needs to consider all the time in real scenario, which means that there is no limitation that the </w:t>
      </w:r>
      <w:bookmarkStart w:id="3" w:name="OLE_LINK4"/>
      <w:r w:rsidR="00FF7E57">
        <w:rPr>
          <w:lang w:val="en-US"/>
        </w:rPr>
        <w:t xml:space="preserve">total average EN-DC power </w:t>
      </w:r>
      <w:bookmarkEnd w:id="3"/>
      <w:r w:rsidR="00FF7E57">
        <w:rPr>
          <w:lang w:val="en-US"/>
        </w:rPr>
        <w:t xml:space="preserve">could not exceed 23dBm. If no </w:t>
      </w:r>
      <w:proofErr w:type="spellStart"/>
      <w:r w:rsidR="00FF7E57">
        <w:rPr>
          <w:lang w:val="en-US"/>
        </w:rPr>
        <w:t>Pmax</w:t>
      </w:r>
      <w:proofErr w:type="spellEnd"/>
      <w:r w:rsidR="00FF7E57">
        <w:rPr>
          <w:lang w:val="en-US"/>
        </w:rPr>
        <w:t xml:space="preserve"> is configured, the upper limit of the EN-DC power is determined by EN-DC power class. As we are discussing PC2 HPUE now, it is expected that the total average EN-DC power would be larger than 23dBm for a UE based solution. Thus the “blind scheme” permanently degrades the whole system performance for PC2 EN-DC HPUE if that is considered as a baseline solution.</w:t>
      </w:r>
      <w:r w:rsidR="007D4A42">
        <w:rPr>
          <w:lang w:val="en-US"/>
        </w:rPr>
        <w:t xml:space="preserve"> On the other hand, low down P</w:t>
      </w:r>
      <w:r w:rsidR="007D4A42" w:rsidRPr="007D4A42">
        <w:rPr>
          <w:vertAlign w:val="subscript"/>
          <w:lang w:val="en-US"/>
        </w:rPr>
        <w:t>LTE</w:t>
      </w:r>
      <w:r w:rsidR="007D4A42">
        <w:rPr>
          <w:lang w:val="en-US"/>
        </w:rPr>
        <w:t xml:space="preserve"> will definitely impact the cell coverage and there is no clear principle which values of P</w:t>
      </w:r>
      <w:r w:rsidR="007D4A42" w:rsidRPr="007D4A42">
        <w:rPr>
          <w:vertAlign w:val="subscript"/>
          <w:lang w:val="en-US"/>
        </w:rPr>
        <w:t>LTE</w:t>
      </w:r>
      <w:r w:rsidR="007D4A42">
        <w:rPr>
          <w:lang w:val="en-US"/>
        </w:rPr>
        <w:t xml:space="preserve"> and P</w:t>
      </w:r>
      <w:r w:rsidR="007D4A42" w:rsidRPr="007D4A42">
        <w:rPr>
          <w:vertAlign w:val="subscript"/>
          <w:lang w:val="en-US"/>
        </w:rPr>
        <w:t>NR</w:t>
      </w:r>
      <w:r w:rsidR="007D4A42">
        <w:rPr>
          <w:lang w:val="en-US"/>
        </w:rPr>
        <w:t xml:space="preserve"> should be configured in the real network.</w:t>
      </w:r>
    </w:p>
    <w:p w:rsidR="002B7D33" w:rsidRPr="007D4A42" w:rsidRDefault="002B7D33" w:rsidP="002B7D33">
      <w:pPr>
        <w:spacing w:before="120"/>
        <w:rPr>
          <w:b/>
          <w:i/>
          <w:lang w:val="en-US"/>
        </w:rPr>
      </w:pPr>
      <w:r w:rsidRPr="007D4A42">
        <w:rPr>
          <w:b/>
          <w:i/>
          <w:lang w:val="en-US"/>
        </w:rPr>
        <w:lastRenderedPageBreak/>
        <w:t xml:space="preserve">Observation </w:t>
      </w:r>
      <w:r>
        <w:rPr>
          <w:b/>
          <w:i/>
          <w:lang w:val="en-US"/>
        </w:rPr>
        <w:t>2</w:t>
      </w:r>
      <w:r w:rsidRPr="007D4A42">
        <w:rPr>
          <w:b/>
          <w:i/>
          <w:lang w:val="en-US"/>
        </w:rPr>
        <w:t xml:space="preserve">: </w:t>
      </w:r>
      <w:r>
        <w:rPr>
          <w:b/>
          <w:i/>
          <w:lang w:val="en-US"/>
        </w:rPr>
        <w:t xml:space="preserve">SAR solutions may not be used by the UE all the time, while the “blind scheme” limit the average total EN-DC power always </w:t>
      </w:r>
      <w:r w:rsidRPr="002B7D33">
        <w:rPr>
          <w:rFonts w:hint="eastAsia"/>
          <w:b/>
          <w:i/>
          <w:lang w:val="en-US"/>
        </w:rPr>
        <w:t>≤</w:t>
      </w:r>
      <w:r w:rsidRPr="002B7D33">
        <w:rPr>
          <w:rFonts w:hint="eastAsia"/>
          <w:b/>
          <w:i/>
          <w:lang w:val="en-US"/>
        </w:rPr>
        <w:t xml:space="preserve"> 23 </w:t>
      </w:r>
      <w:proofErr w:type="spellStart"/>
      <w:r w:rsidRPr="002B7D33">
        <w:rPr>
          <w:rFonts w:hint="eastAsia"/>
          <w:b/>
          <w:i/>
          <w:lang w:val="en-US"/>
        </w:rPr>
        <w:t>dBm</w:t>
      </w:r>
      <w:proofErr w:type="spellEnd"/>
      <w:r>
        <w:rPr>
          <w:b/>
          <w:i/>
          <w:lang w:val="en-US"/>
        </w:rPr>
        <w:t xml:space="preserve">, which would definitely cause system performance degradation. </w:t>
      </w:r>
    </w:p>
    <w:p w:rsidR="007D4A42" w:rsidRDefault="00C40FA1" w:rsidP="00B53DB7">
      <w:pPr>
        <w:spacing w:before="120"/>
        <w:rPr>
          <w:lang w:val="en-US"/>
        </w:rPr>
      </w:pPr>
      <w:r>
        <w:rPr>
          <w:lang w:val="en-US"/>
        </w:rPr>
        <w:t xml:space="preserve">For the second remaining issue, i.e. what’s the solution </w:t>
      </w:r>
      <w:r w:rsidRPr="007B10CD">
        <w:rPr>
          <w:rFonts w:hint="eastAsia"/>
          <w:lang w:val="en-US"/>
        </w:rPr>
        <w:t>when the UL EN-DC scheduling exceeds the UE capability</w:t>
      </w:r>
      <w:r>
        <w:rPr>
          <w:lang w:val="en-US"/>
        </w:rPr>
        <w:t xml:space="preserve">, there are several options discussed in last RAN4 meeting. </w:t>
      </w:r>
    </w:p>
    <w:p w:rsidR="00751F4C" w:rsidRPr="00C40FA1" w:rsidRDefault="00C40FA1" w:rsidP="00C40FA1">
      <w:pPr>
        <w:numPr>
          <w:ilvl w:val="0"/>
          <w:numId w:val="45"/>
        </w:numPr>
        <w:tabs>
          <w:tab w:val="num" w:pos="1440"/>
        </w:tabs>
        <w:spacing w:after="0"/>
        <w:ind w:left="714" w:hanging="357"/>
        <w:rPr>
          <w:lang w:val="en-US"/>
        </w:rPr>
      </w:pPr>
      <w:r w:rsidRPr="00C40FA1">
        <w:rPr>
          <w:rFonts w:hint="eastAsia"/>
          <w:lang w:val="en-US"/>
        </w:rPr>
        <w:t xml:space="preserve">Option 1: UE should fallback to PC3 </w:t>
      </w:r>
    </w:p>
    <w:p w:rsidR="00751F4C" w:rsidRPr="00C40FA1" w:rsidRDefault="00C40FA1" w:rsidP="00C40FA1">
      <w:pPr>
        <w:numPr>
          <w:ilvl w:val="0"/>
          <w:numId w:val="45"/>
        </w:numPr>
        <w:tabs>
          <w:tab w:val="num" w:pos="1440"/>
        </w:tabs>
        <w:spacing w:after="0"/>
        <w:ind w:left="714" w:hanging="357"/>
        <w:rPr>
          <w:lang w:val="en-US"/>
        </w:rPr>
      </w:pPr>
      <w:r w:rsidRPr="00C40FA1">
        <w:rPr>
          <w:rFonts w:hint="eastAsia"/>
          <w:lang w:val="en-US"/>
        </w:rPr>
        <w:t xml:space="preserve">Option 2: </w:t>
      </w:r>
      <w:r w:rsidRPr="00C40FA1">
        <w:rPr>
          <w:rFonts w:hint="eastAsia"/>
          <w:lang w:val="en-US"/>
        </w:rPr>
        <w:t>“</w:t>
      </w:r>
      <w:r w:rsidRPr="00C40FA1">
        <w:rPr>
          <w:rFonts w:hint="eastAsia"/>
          <w:lang w:val="en-US"/>
        </w:rPr>
        <w:t>Blind</w:t>
      </w:r>
      <w:r w:rsidRPr="00C40FA1">
        <w:rPr>
          <w:rFonts w:hint="eastAsia"/>
          <w:lang w:val="en-US"/>
        </w:rPr>
        <w:t>”</w:t>
      </w:r>
      <w:r w:rsidRPr="00C40FA1">
        <w:rPr>
          <w:rFonts w:hint="eastAsia"/>
          <w:lang w:val="en-US"/>
        </w:rPr>
        <w:t xml:space="preserve">scheme should be followed </w:t>
      </w:r>
    </w:p>
    <w:p w:rsidR="00751F4C" w:rsidRPr="00C40FA1" w:rsidRDefault="00C40FA1" w:rsidP="00C40FA1">
      <w:pPr>
        <w:numPr>
          <w:ilvl w:val="0"/>
          <w:numId w:val="45"/>
        </w:numPr>
        <w:tabs>
          <w:tab w:val="num" w:pos="1440"/>
        </w:tabs>
        <w:spacing w:after="0"/>
        <w:ind w:left="714" w:hanging="357"/>
        <w:rPr>
          <w:lang w:val="en-US"/>
        </w:rPr>
      </w:pPr>
      <w:r w:rsidRPr="00C40FA1">
        <w:rPr>
          <w:rFonts w:hint="eastAsia"/>
          <w:lang w:val="en-US"/>
        </w:rPr>
        <w:t>Option 3:</w:t>
      </w:r>
      <w:r>
        <w:rPr>
          <w:lang w:val="en-US"/>
        </w:rPr>
        <w:t xml:space="preserve"> </w:t>
      </w:r>
      <w:r w:rsidRPr="00C40FA1">
        <w:rPr>
          <w:rFonts w:hint="eastAsia"/>
          <w:lang w:val="en-US"/>
        </w:rPr>
        <w:t xml:space="preserve">UEs fallback to PC3 when UL EN-DC scheduling exceeds the UE capability, but add a conditional statement for 100% UL percentage with an upper limit of the UL power setting on the LTE side for each fixed LTE reference configuration. </w:t>
      </w:r>
    </w:p>
    <w:p w:rsidR="00751F4C" w:rsidRPr="00C40FA1" w:rsidRDefault="00C40FA1" w:rsidP="00C40FA1">
      <w:pPr>
        <w:numPr>
          <w:ilvl w:val="0"/>
          <w:numId w:val="45"/>
        </w:numPr>
        <w:tabs>
          <w:tab w:val="num" w:pos="1440"/>
        </w:tabs>
        <w:spacing w:after="0"/>
        <w:ind w:left="714" w:hanging="357"/>
        <w:rPr>
          <w:lang w:val="en-US"/>
        </w:rPr>
      </w:pPr>
      <w:r w:rsidRPr="00C40FA1">
        <w:rPr>
          <w:rFonts w:hint="eastAsia"/>
          <w:lang w:val="en-US"/>
        </w:rPr>
        <w:t xml:space="preserve">Option 4: UE-based scheme followed when the UL EN-DC scheduling exceeds the UE capability. </w:t>
      </w:r>
    </w:p>
    <w:p w:rsidR="000D609F" w:rsidRDefault="00C40FA1" w:rsidP="00B53DB7">
      <w:pPr>
        <w:spacing w:before="120"/>
        <w:rPr>
          <w:lang w:val="en-US"/>
        </w:rPr>
      </w:pPr>
      <w:r>
        <w:rPr>
          <w:lang w:val="en-US"/>
        </w:rPr>
        <w:t xml:space="preserve">As discussed above for the first issue, “blind” scheme has unnecessary limitation on average total power, which is not appropriate as a SAR optimization solution, our view is that option 1 and option 4 can be considered. </w:t>
      </w:r>
      <w:r w:rsidR="00EB7D7B">
        <w:rPr>
          <w:lang w:val="en-US"/>
        </w:rPr>
        <w:t xml:space="preserve">It is noted that there are some methods discussed before to improve the output power </w:t>
      </w:r>
      <w:r w:rsidR="001015A4">
        <w:rPr>
          <w:lang w:val="en-US"/>
        </w:rPr>
        <w:t xml:space="preserve">under </w:t>
      </w:r>
      <w:r w:rsidR="00EB7D7B">
        <w:rPr>
          <w:lang w:val="en-US"/>
        </w:rPr>
        <w:t>fall back mode</w:t>
      </w:r>
      <w:r w:rsidR="00F416B2">
        <w:rPr>
          <w:lang w:val="en-US"/>
        </w:rPr>
        <w:t xml:space="preserve"> [6</w:t>
      </w:r>
      <w:proofErr w:type="gramStart"/>
      <w:r w:rsidR="00F416B2">
        <w:rPr>
          <w:lang w:val="en-US"/>
        </w:rPr>
        <w:t>][</w:t>
      </w:r>
      <w:proofErr w:type="gramEnd"/>
      <w:r w:rsidR="00F416B2">
        <w:rPr>
          <w:lang w:val="en-US"/>
        </w:rPr>
        <w:t>7]</w:t>
      </w:r>
      <w:r w:rsidR="00EB7D7B">
        <w:rPr>
          <w:lang w:val="en-US"/>
        </w:rPr>
        <w:t xml:space="preserve">, </w:t>
      </w:r>
      <w:r w:rsidR="000D609F">
        <w:rPr>
          <w:lang w:val="en-US"/>
        </w:rPr>
        <w:t>during the discussion, the chairman suggestion recorded in the chairman notes for RAN4#92bis was:</w:t>
      </w:r>
    </w:p>
    <w:p w:rsidR="000D609F" w:rsidRPr="000D609F" w:rsidRDefault="000D609F" w:rsidP="000D609F">
      <w:pPr>
        <w:rPr>
          <w:i/>
        </w:rPr>
      </w:pPr>
      <w:r w:rsidRPr="000D609F">
        <w:rPr>
          <w:rFonts w:hint="eastAsia"/>
          <w:i/>
        </w:rPr>
        <w:t>C</w:t>
      </w:r>
      <w:r w:rsidRPr="000D609F">
        <w:rPr>
          <w:i/>
        </w:rPr>
        <w:t xml:space="preserve">hair: Power class </w:t>
      </w:r>
      <w:proofErr w:type="spellStart"/>
      <w:r w:rsidRPr="000D609F">
        <w:rPr>
          <w:i/>
        </w:rPr>
        <w:t>fallback</w:t>
      </w:r>
      <w:proofErr w:type="spellEnd"/>
      <w:r w:rsidRPr="000D609F">
        <w:rPr>
          <w:i/>
        </w:rPr>
        <w:t xml:space="preserve"> will be </w:t>
      </w:r>
      <w:proofErr w:type="spellStart"/>
      <w:r w:rsidRPr="000D609F">
        <w:rPr>
          <w:i/>
        </w:rPr>
        <w:t>continuely</w:t>
      </w:r>
      <w:proofErr w:type="spellEnd"/>
      <w:r w:rsidRPr="000D609F">
        <w:rPr>
          <w:i/>
        </w:rPr>
        <w:t xml:space="preserve"> discussed under TEI16 with the assumption that final solutions shall have limited other WG impact except RAN2 capability signalling </w:t>
      </w:r>
    </w:p>
    <w:p w:rsidR="00C40FA1" w:rsidRDefault="000D609F" w:rsidP="00B53DB7">
      <w:pPr>
        <w:spacing w:before="120"/>
        <w:rPr>
          <w:lang w:val="en-US"/>
        </w:rPr>
      </w:pPr>
      <w:r>
        <w:rPr>
          <w:lang w:val="en-US"/>
        </w:rPr>
        <w:t>F</w:t>
      </w:r>
      <w:r w:rsidR="00EB7D7B">
        <w:rPr>
          <w:lang w:val="en-US"/>
        </w:rPr>
        <w:t xml:space="preserve">or simplicity, we can adopt option 1 in Rel-16 and consider further improvement </w:t>
      </w:r>
      <w:r w:rsidR="001015A4">
        <w:rPr>
          <w:lang w:val="en-US"/>
        </w:rPr>
        <w:t>afterwards</w:t>
      </w:r>
      <w:r w:rsidR="00EB7D7B">
        <w:rPr>
          <w:lang w:val="en-US"/>
        </w:rPr>
        <w:t xml:space="preserve">. </w:t>
      </w:r>
    </w:p>
    <w:p w:rsidR="001015A4" w:rsidRPr="001015A4" w:rsidRDefault="001015A4" w:rsidP="00B53DB7">
      <w:pPr>
        <w:spacing w:before="120"/>
        <w:rPr>
          <w:b/>
          <w:i/>
          <w:lang w:val="en-US"/>
        </w:rPr>
      </w:pPr>
      <w:r w:rsidRPr="001015A4">
        <w:rPr>
          <w:b/>
          <w:i/>
          <w:lang w:val="en-US"/>
        </w:rPr>
        <w:t>Observation 3:</w:t>
      </w:r>
      <w:r w:rsidR="000D609F">
        <w:rPr>
          <w:b/>
          <w:i/>
          <w:lang w:val="en-US"/>
        </w:rPr>
        <w:t xml:space="preserve"> Power class fallback improvement has already been discussed in previous RAN4 meetings, </w:t>
      </w:r>
      <w:r w:rsidR="00281FDC">
        <w:rPr>
          <w:b/>
          <w:i/>
          <w:lang w:val="en-US"/>
        </w:rPr>
        <w:t>similar issue for EN-DC</w:t>
      </w:r>
      <w:r w:rsidR="000D609F">
        <w:rPr>
          <w:b/>
          <w:i/>
          <w:lang w:val="en-US"/>
        </w:rPr>
        <w:t xml:space="preserve"> can be further studied in TEI16. </w:t>
      </w:r>
    </w:p>
    <w:p w:rsidR="00A33E8E" w:rsidRDefault="00A33E8E" w:rsidP="00A33E8E">
      <w:pPr>
        <w:pStyle w:val="Heading1"/>
        <w:spacing w:after="240"/>
        <w:rPr>
          <w:rFonts w:eastAsia="宋体" w:hint="eastAsia"/>
          <w:lang w:eastAsia="zh-CN"/>
        </w:rPr>
      </w:pPr>
      <w:r>
        <w:rPr>
          <w:rFonts w:eastAsia="宋体" w:hint="eastAsia"/>
          <w:lang w:eastAsia="zh-CN"/>
        </w:rPr>
        <w:t>Conclusion</w:t>
      </w:r>
    </w:p>
    <w:p w:rsidR="00E93D47" w:rsidRDefault="000D609F" w:rsidP="00303E78">
      <w:pPr>
        <w:rPr>
          <w:lang w:val="en-US"/>
        </w:rPr>
      </w:pPr>
      <w:r>
        <w:rPr>
          <w:lang w:val="en-US"/>
        </w:rPr>
        <w:t>Further consideration on FDD-TDD EN-DC HPUE was discussed in this contribution. To close the WI on time, we have the following observations and proposals.</w:t>
      </w:r>
    </w:p>
    <w:p w:rsidR="000D609F" w:rsidRPr="007D4A42" w:rsidRDefault="000D609F" w:rsidP="000D609F">
      <w:pPr>
        <w:spacing w:before="120"/>
        <w:rPr>
          <w:b/>
          <w:i/>
          <w:lang w:val="en-US"/>
        </w:rPr>
      </w:pPr>
      <w:r w:rsidRPr="007D4A42">
        <w:rPr>
          <w:b/>
          <w:i/>
          <w:lang w:val="en-US"/>
        </w:rPr>
        <w:t xml:space="preserve">Observation 1: </w:t>
      </w:r>
      <w:r>
        <w:rPr>
          <w:b/>
          <w:i/>
          <w:lang w:val="en-US"/>
        </w:rPr>
        <w:t xml:space="preserve">SAR solutions discussed in Rel-16 EN-DC HPUE </w:t>
      </w:r>
      <w:r w:rsidR="00952E94">
        <w:rPr>
          <w:b/>
          <w:i/>
          <w:lang w:val="en-US"/>
        </w:rPr>
        <w:t>WIs are just</w:t>
      </w:r>
      <w:r>
        <w:rPr>
          <w:b/>
          <w:i/>
          <w:lang w:val="en-US"/>
        </w:rPr>
        <w:t xml:space="preserve"> optimization rather than the only solutions, which does not exclude UE based solution to support EN-DC HPUE. </w:t>
      </w:r>
    </w:p>
    <w:p w:rsidR="000D609F" w:rsidRPr="007D4A42" w:rsidRDefault="000D609F" w:rsidP="000D609F">
      <w:pPr>
        <w:spacing w:before="120"/>
        <w:rPr>
          <w:b/>
          <w:i/>
          <w:lang w:val="en-US"/>
        </w:rPr>
      </w:pPr>
      <w:r w:rsidRPr="007D4A42">
        <w:rPr>
          <w:b/>
          <w:i/>
          <w:lang w:val="en-US"/>
        </w:rPr>
        <w:t xml:space="preserve">Observation </w:t>
      </w:r>
      <w:r>
        <w:rPr>
          <w:b/>
          <w:i/>
          <w:lang w:val="en-US"/>
        </w:rPr>
        <w:t>2</w:t>
      </w:r>
      <w:r w:rsidRPr="007D4A42">
        <w:rPr>
          <w:b/>
          <w:i/>
          <w:lang w:val="en-US"/>
        </w:rPr>
        <w:t xml:space="preserve">: </w:t>
      </w:r>
      <w:r>
        <w:rPr>
          <w:b/>
          <w:i/>
          <w:lang w:val="en-US"/>
        </w:rPr>
        <w:t>SAR solutions may not be used by the UE all the time</w:t>
      </w:r>
      <w:r w:rsidR="00952E94">
        <w:rPr>
          <w:b/>
          <w:i/>
          <w:lang w:val="en-US"/>
        </w:rPr>
        <w:t xml:space="preserve"> in real scenario</w:t>
      </w:r>
      <w:r>
        <w:rPr>
          <w:b/>
          <w:i/>
          <w:lang w:val="en-US"/>
        </w:rPr>
        <w:t xml:space="preserve">, while the “blind scheme” limit the average total EN-DC power always </w:t>
      </w:r>
      <w:r w:rsidRPr="002B7D33">
        <w:rPr>
          <w:rFonts w:hint="eastAsia"/>
          <w:b/>
          <w:i/>
          <w:lang w:val="en-US"/>
        </w:rPr>
        <w:t>≤</w:t>
      </w:r>
      <w:r w:rsidRPr="002B7D33">
        <w:rPr>
          <w:rFonts w:hint="eastAsia"/>
          <w:b/>
          <w:i/>
          <w:lang w:val="en-US"/>
        </w:rPr>
        <w:t xml:space="preserve"> 23 </w:t>
      </w:r>
      <w:proofErr w:type="spellStart"/>
      <w:r w:rsidRPr="002B7D33">
        <w:rPr>
          <w:rFonts w:hint="eastAsia"/>
          <w:b/>
          <w:i/>
          <w:lang w:val="en-US"/>
        </w:rPr>
        <w:t>dBm</w:t>
      </w:r>
      <w:proofErr w:type="spellEnd"/>
      <w:r>
        <w:rPr>
          <w:b/>
          <w:i/>
          <w:lang w:val="en-US"/>
        </w:rPr>
        <w:t xml:space="preserve">, which would definitely cause system performance degradation. </w:t>
      </w:r>
    </w:p>
    <w:p w:rsidR="000D609F" w:rsidRPr="001015A4" w:rsidRDefault="000D609F" w:rsidP="000D609F">
      <w:pPr>
        <w:spacing w:before="120"/>
        <w:rPr>
          <w:b/>
          <w:i/>
          <w:lang w:val="en-US"/>
        </w:rPr>
      </w:pPr>
      <w:r w:rsidRPr="001015A4">
        <w:rPr>
          <w:b/>
          <w:i/>
          <w:lang w:val="en-US"/>
        </w:rPr>
        <w:t>Observation 3:</w:t>
      </w:r>
      <w:r>
        <w:rPr>
          <w:b/>
          <w:i/>
          <w:lang w:val="en-US"/>
        </w:rPr>
        <w:t xml:space="preserve"> </w:t>
      </w:r>
      <w:r w:rsidR="00281FDC">
        <w:rPr>
          <w:b/>
          <w:i/>
          <w:lang w:val="en-US"/>
        </w:rPr>
        <w:t>Power class fallback improvement has already been discussed in previous RAN4 meetings, similar issue for EN-DC can be further studied in TEI16.</w:t>
      </w:r>
    </w:p>
    <w:p w:rsidR="000D609F" w:rsidRDefault="000D609F" w:rsidP="00303E78">
      <w:pPr>
        <w:rPr>
          <w:b/>
          <w:i/>
          <w:lang w:val="en-US"/>
        </w:rPr>
      </w:pPr>
      <w:r w:rsidRPr="000D609F">
        <w:rPr>
          <w:b/>
          <w:i/>
          <w:lang w:val="en-US"/>
        </w:rPr>
        <w:t xml:space="preserve">Proposal 1: </w:t>
      </w:r>
      <w:r>
        <w:rPr>
          <w:b/>
          <w:i/>
          <w:lang w:val="en-US"/>
        </w:rPr>
        <w:t>W</w:t>
      </w:r>
      <w:r w:rsidRPr="000D609F">
        <w:rPr>
          <w:b/>
          <w:i/>
          <w:lang w:val="en-US"/>
        </w:rPr>
        <w:t>hen</w:t>
      </w:r>
      <w:r>
        <w:rPr>
          <w:b/>
          <w:i/>
          <w:lang w:val="en-US"/>
        </w:rPr>
        <w:t xml:space="preserve"> </w:t>
      </w:r>
      <w:proofErr w:type="spellStart"/>
      <w:r>
        <w:rPr>
          <w:b/>
          <w:i/>
          <w:lang w:val="en-US"/>
        </w:rPr>
        <w:t>dutycycle</w:t>
      </w:r>
      <w:proofErr w:type="spellEnd"/>
      <w:r w:rsidRPr="000D609F">
        <w:rPr>
          <w:b/>
          <w:i/>
          <w:lang w:val="en-US"/>
        </w:rPr>
        <w:t xml:space="preserve"> capability parameters are absent</w:t>
      </w:r>
      <w:r>
        <w:rPr>
          <w:b/>
          <w:i/>
          <w:lang w:val="en-US"/>
        </w:rPr>
        <w:t xml:space="preserve">, UE based SAR solution, e.g. P-MPR, can be used, and FDD-TDD EN-DC HPUE can be release independent from Rel-15 accordingly. </w:t>
      </w:r>
    </w:p>
    <w:p w:rsidR="000D609F" w:rsidRPr="000D609F" w:rsidRDefault="000D609F" w:rsidP="00303E78">
      <w:pPr>
        <w:rPr>
          <w:b/>
          <w:i/>
          <w:lang w:val="en-US"/>
        </w:rPr>
      </w:pPr>
      <w:r>
        <w:rPr>
          <w:b/>
          <w:i/>
          <w:lang w:val="en-US"/>
        </w:rPr>
        <w:t>Proposal 2: W</w:t>
      </w:r>
      <w:r w:rsidRPr="000D609F">
        <w:rPr>
          <w:b/>
          <w:i/>
          <w:lang w:val="en-US"/>
        </w:rPr>
        <w:t xml:space="preserve">hen the UL EN-DC scheduling exceeds the UE </w:t>
      </w:r>
      <w:proofErr w:type="spellStart"/>
      <w:r>
        <w:rPr>
          <w:b/>
          <w:i/>
          <w:lang w:val="en-US"/>
        </w:rPr>
        <w:t>dutycycle</w:t>
      </w:r>
      <w:proofErr w:type="spellEnd"/>
      <w:r>
        <w:rPr>
          <w:b/>
          <w:i/>
          <w:lang w:val="en-US"/>
        </w:rPr>
        <w:t xml:space="preserve"> </w:t>
      </w:r>
      <w:r w:rsidRPr="000D609F">
        <w:rPr>
          <w:b/>
          <w:i/>
          <w:lang w:val="en-US"/>
        </w:rPr>
        <w:t>capability</w:t>
      </w:r>
      <w:r>
        <w:rPr>
          <w:b/>
          <w:i/>
          <w:lang w:val="en-US"/>
        </w:rPr>
        <w:t xml:space="preserve">, UE falls back to PC3, and the EN-DC power class fallback improvement </w:t>
      </w:r>
      <w:r w:rsidR="005F2D90">
        <w:rPr>
          <w:b/>
          <w:i/>
          <w:lang w:val="en-US"/>
        </w:rPr>
        <w:t xml:space="preserve">can be further studied in TEI16. </w:t>
      </w:r>
    </w:p>
    <w:p w:rsidR="00B22DA6" w:rsidRDefault="00B22DA6" w:rsidP="00B22DA6">
      <w:pPr>
        <w:pStyle w:val="Heading1"/>
        <w:numPr>
          <w:ilvl w:val="0"/>
          <w:numId w:val="0"/>
        </w:numPr>
        <w:rPr>
          <w:rFonts w:eastAsia="宋体" w:hint="eastAsia"/>
          <w:lang w:eastAsia="zh-CN"/>
        </w:rPr>
      </w:pPr>
      <w:r>
        <w:t>References</w:t>
      </w:r>
    </w:p>
    <w:p w:rsidR="00C53757" w:rsidRDefault="0035262B" w:rsidP="00F71A33">
      <w:r>
        <w:rPr>
          <w:rFonts w:hint="eastAsia"/>
        </w:rPr>
        <w:t>[1]</w:t>
      </w:r>
      <w:r w:rsidR="00F02572">
        <w:t xml:space="preserve"> </w:t>
      </w:r>
      <w:r w:rsidR="00F02572" w:rsidRPr="00F02572">
        <w:t>RP-201329, Summary of email discussion [R16_R17_PC2] on power class 2 in REL-16 and REL-17, China Unicom</w:t>
      </w:r>
    </w:p>
    <w:p w:rsidR="00D73EEA" w:rsidRDefault="00D73EEA" w:rsidP="00F71A33">
      <w:pPr>
        <w:rPr>
          <w:lang w:val="en-US"/>
        </w:rPr>
      </w:pPr>
      <w:r>
        <w:rPr>
          <w:lang w:val="en-US"/>
        </w:rPr>
        <w:t xml:space="preserve">[2] </w:t>
      </w:r>
      <w:r w:rsidR="00F02572" w:rsidRPr="00F02572">
        <w:rPr>
          <w:lang w:val="en-US"/>
        </w:rPr>
        <w:t>RP-201346</w:t>
      </w:r>
      <w:r w:rsidR="00F02572">
        <w:rPr>
          <w:lang w:val="en-US"/>
        </w:rPr>
        <w:t xml:space="preserve">, </w:t>
      </w:r>
      <w:r w:rsidR="00F02572" w:rsidRPr="00F02572">
        <w:rPr>
          <w:lang w:val="en-US"/>
        </w:rPr>
        <w:t>WF on PC2 EN-DC FDD+TDD HPUE</w:t>
      </w:r>
      <w:r w:rsidR="00F02572">
        <w:rPr>
          <w:lang w:val="en-US"/>
        </w:rPr>
        <w:t xml:space="preserve">, </w:t>
      </w:r>
      <w:r w:rsidR="00F02572" w:rsidRPr="00F02572">
        <w:rPr>
          <w:lang w:val="en-US"/>
        </w:rPr>
        <w:t>China Unicom, China Telecom, CMCC, CHTTL, Huawei, HiSilicon, Xiaomi, vivo</w:t>
      </w:r>
    </w:p>
    <w:p w:rsidR="00F02572" w:rsidRDefault="00F02572" w:rsidP="00F71A33">
      <w:r>
        <w:rPr>
          <w:lang w:val="en-US"/>
        </w:rPr>
        <w:t xml:space="preserve">[3] </w:t>
      </w:r>
      <w:r w:rsidRPr="00F02572">
        <w:rPr>
          <w:lang w:val="en-US"/>
        </w:rPr>
        <w:t>R4-2008907</w:t>
      </w:r>
      <w:r>
        <w:rPr>
          <w:lang w:val="en-US"/>
        </w:rPr>
        <w:t xml:space="preserve">, </w:t>
      </w:r>
      <w:r w:rsidRPr="00F02572">
        <w:rPr>
          <w:rFonts w:hint="eastAsia"/>
        </w:rPr>
        <w:t>WF on PC2 EN-DC FDD+TDD HPUE</w:t>
      </w:r>
      <w:r>
        <w:t>, China Unicom</w:t>
      </w:r>
    </w:p>
    <w:p w:rsidR="00E15DC8" w:rsidRDefault="00E15DC8" w:rsidP="00F71A33">
      <w:r>
        <w:t xml:space="preserve">[4] </w:t>
      </w:r>
      <w:r w:rsidRPr="00E15DC8">
        <w:t>RP-201220</w:t>
      </w:r>
      <w:r>
        <w:t xml:space="preserve">, </w:t>
      </w:r>
      <w:r w:rsidRPr="00E15DC8">
        <w:t>Proposal for PC2 EN-DC FDD+TDD HPUE</w:t>
      </w:r>
      <w:r>
        <w:t xml:space="preserve">, </w:t>
      </w:r>
      <w:r w:rsidRPr="00E15DC8">
        <w:t>Verizon, Qualcomm</w:t>
      </w:r>
    </w:p>
    <w:p w:rsidR="006F5524" w:rsidRDefault="006F5524" w:rsidP="00F71A33">
      <w:r>
        <w:lastRenderedPageBreak/>
        <w:t xml:space="preserve">[5] </w:t>
      </w:r>
      <w:r w:rsidRPr="006F5524">
        <w:t>R4-2003878</w:t>
      </w:r>
      <w:r>
        <w:t xml:space="preserve">, </w:t>
      </w:r>
      <w:r w:rsidRPr="006F5524">
        <w:t>EN-DC Power Class 2 for FDD-TDD band combinations with and without tight CG coordination</w:t>
      </w:r>
      <w:r>
        <w:t>, Ericsson</w:t>
      </w:r>
    </w:p>
    <w:p w:rsidR="00C34E10" w:rsidRDefault="00C34E10" w:rsidP="00F71A33">
      <w:pPr>
        <w:rPr>
          <w:rFonts w:eastAsia="Yu Mincho"/>
          <w:lang w:val="en-US" w:eastAsia="ja-JP"/>
        </w:rPr>
      </w:pPr>
      <w:r>
        <w:t xml:space="preserve">[6] </w:t>
      </w:r>
      <w:r w:rsidRPr="00655E20">
        <w:t>R4-1909103</w:t>
      </w:r>
      <w:r>
        <w:rPr>
          <w:rFonts w:eastAsia="Yu Mincho"/>
          <w:lang w:val="en-US" w:eastAsia="ja-JP"/>
        </w:rPr>
        <w:t>,</w:t>
      </w:r>
      <w:r w:rsidRPr="00D25C7C">
        <w:rPr>
          <w:rFonts w:eastAsia="Yu Mincho"/>
          <w:lang w:val="en-US" w:eastAsia="ja-JP"/>
        </w:rPr>
        <w:tab/>
      </w:r>
      <w:r>
        <w:rPr>
          <w:rFonts w:eastAsia="Yu Mincho"/>
          <w:lang w:val="en-US" w:eastAsia="ja-JP"/>
        </w:rPr>
        <w:t>“</w:t>
      </w:r>
      <w:r w:rsidRPr="00655E20">
        <w:rPr>
          <w:rFonts w:eastAsia="Yu Mincho"/>
          <w:lang w:val="en-US" w:eastAsia="ja-JP"/>
        </w:rPr>
        <w:t xml:space="preserve">On power class fallback and </w:t>
      </w:r>
      <w:proofErr w:type="spellStart"/>
      <w:r w:rsidRPr="00655E20">
        <w:rPr>
          <w:rFonts w:eastAsia="Yu Mincho"/>
          <w:lang w:val="en-US" w:eastAsia="ja-JP"/>
        </w:rPr>
        <w:t>Pcmax</w:t>
      </w:r>
      <w:proofErr w:type="spellEnd"/>
      <w:r w:rsidRPr="00655E20">
        <w:rPr>
          <w:rFonts w:eastAsia="Yu Mincho"/>
          <w:lang w:val="en-US" w:eastAsia="ja-JP"/>
        </w:rPr>
        <w:t xml:space="preserve"> for HPUE</w:t>
      </w:r>
      <w:r>
        <w:rPr>
          <w:rFonts w:eastAsia="Yu Mincho"/>
          <w:lang w:val="en-US" w:eastAsia="ja-JP"/>
        </w:rPr>
        <w:t>”,</w:t>
      </w:r>
      <w:r w:rsidRPr="00D25C7C">
        <w:rPr>
          <w:rFonts w:eastAsia="Yu Mincho"/>
          <w:lang w:val="en-US" w:eastAsia="ja-JP"/>
        </w:rPr>
        <w:t xml:space="preserve"> </w:t>
      </w:r>
      <w:r w:rsidRPr="00655E20">
        <w:rPr>
          <w:rFonts w:eastAsia="Yu Mincho"/>
          <w:lang w:val="en-US" w:eastAsia="ja-JP"/>
        </w:rPr>
        <w:t>Huawei, HiSilicon</w:t>
      </w:r>
      <w:r>
        <w:rPr>
          <w:rFonts w:eastAsia="Yu Mincho"/>
          <w:lang w:val="en-US" w:eastAsia="ja-JP"/>
        </w:rPr>
        <w:t>, RAN4#92</w:t>
      </w:r>
    </w:p>
    <w:p w:rsidR="00C34E10" w:rsidRDefault="00C34E10" w:rsidP="00F71A33">
      <w:r>
        <w:t xml:space="preserve">[7] </w:t>
      </w:r>
      <w:r w:rsidRPr="00C34E10">
        <w:t>R4-1910925</w:t>
      </w:r>
      <w:r>
        <w:t xml:space="preserve">, </w:t>
      </w:r>
      <w:r w:rsidRPr="00C34E10">
        <w:t xml:space="preserve">PC2 output power and UL </w:t>
      </w:r>
      <w:proofErr w:type="spellStart"/>
      <w:r w:rsidRPr="00C34E10">
        <w:t>dutycycle</w:t>
      </w:r>
      <w:proofErr w:type="spellEnd"/>
      <w:r>
        <w:t>, NTT DOCOMO</w:t>
      </w:r>
    </w:p>
    <w:p w:rsidR="00C34E10" w:rsidRDefault="00C34E10" w:rsidP="00F71A33"/>
    <w:p w:rsidR="006F5524" w:rsidRPr="00A26D1F" w:rsidRDefault="006F5524" w:rsidP="00F71A33">
      <w:pPr>
        <w:rPr>
          <w:rFonts w:hint="eastAsia"/>
          <w:lang w:val="en-US"/>
        </w:rPr>
      </w:pPr>
    </w:p>
    <w:sectPr w:rsidR="006F5524" w:rsidRPr="00A26D1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F8E" w:rsidRDefault="00B31F8E" w:rsidP="0052762B">
      <w:r>
        <w:separator/>
      </w:r>
    </w:p>
  </w:endnote>
  <w:endnote w:type="continuationSeparator" w:id="0">
    <w:p w:rsidR="00B31F8E" w:rsidRDefault="00B31F8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F8E" w:rsidRDefault="00B31F8E" w:rsidP="0052762B">
      <w:r>
        <w:separator/>
      </w:r>
    </w:p>
  </w:footnote>
  <w:footnote w:type="continuationSeparator" w:id="0">
    <w:p w:rsidR="00B31F8E" w:rsidRDefault="00B31F8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F3A00"/>
    <w:multiLevelType w:val="hybridMultilevel"/>
    <w:tmpl w:val="87DEE5FC"/>
    <w:lvl w:ilvl="0" w:tplc="0409000F">
      <w:start w:val="1"/>
      <w:numFmt w:val="decimal"/>
      <w:lvlText w:val="%1."/>
      <w:lvlJc w:val="left"/>
      <w:pPr>
        <w:tabs>
          <w:tab w:val="num" w:pos="720"/>
        </w:tabs>
        <w:ind w:left="720" w:hanging="360"/>
      </w:pPr>
      <w:rPr>
        <w:rFonts w:hint="default"/>
      </w:rPr>
    </w:lvl>
    <w:lvl w:ilvl="1" w:tplc="8E0036C8">
      <w:start w:val="1"/>
      <w:numFmt w:val="bullet"/>
      <w:lvlText w:val="•"/>
      <w:lvlJc w:val="left"/>
      <w:pPr>
        <w:tabs>
          <w:tab w:val="num" w:pos="1440"/>
        </w:tabs>
        <w:ind w:left="1440" w:hanging="360"/>
      </w:pPr>
      <w:rPr>
        <w:rFonts w:ascii="Arial" w:hAnsi="Arial" w:hint="default"/>
      </w:rPr>
    </w:lvl>
    <w:lvl w:ilvl="2" w:tplc="11C4C98C" w:tentative="1">
      <w:start w:val="1"/>
      <w:numFmt w:val="bullet"/>
      <w:lvlText w:val="•"/>
      <w:lvlJc w:val="left"/>
      <w:pPr>
        <w:tabs>
          <w:tab w:val="num" w:pos="2160"/>
        </w:tabs>
        <w:ind w:left="2160" w:hanging="360"/>
      </w:pPr>
      <w:rPr>
        <w:rFonts w:ascii="Arial" w:hAnsi="Arial" w:hint="default"/>
      </w:rPr>
    </w:lvl>
    <w:lvl w:ilvl="3" w:tplc="77CC6D64" w:tentative="1">
      <w:start w:val="1"/>
      <w:numFmt w:val="bullet"/>
      <w:lvlText w:val="•"/>
      <w:lvlJc w:val="left"/>
      <w:pPr>
        <w:tabs>
          <w:tab w:val="num" w:pos="2880"/>
        </w:tabs>
        <w:ind w:left="2880" w:hanging="360"/>
      </w:pPr>
      <w:rPr>
        <w:rFonts w:ascii="Arial" w:hAnsi="Arial" w:hint="default"/>
      </w:rPr>
    </w:lvl>
    <w:lvl w:ilvl="4" w:tplc="22A208BA" w:tentative="1">
      <w:start w:val="1"/>
      <w:numFmt w:val="bullet"/>
      <w:lvlText w:val="•"/>
      <w:lvlJc w:val="left"/>
      <w:pPr>
        <w:tabs>
          <w:tab w:val="num" w:pos="3600"/>
        </w:tabs>
        <w:ind w:left="3600" w:hanging="360"/>
      </w:pPr>
      <w:rPr>
        <w:rFonts w:ascii="Arial" w:hAnsi="Arial" w:hint="default"/>
      </w:rPr>
    </w:lvl>
    <w:lvl w:ilvl="5" w:tplc="28828C68" w:tentative="1">
      <w:start w:val="1"/>
      <w:numFmt w:val="bullet"/>
      <w:lvlText w:val="•"/>
      <w:lvlJc w:val="left"/>
      <w:pPr>
        <w:tabs>
          <w:tab w:val="num" w:pos="4320"/>
        </w:tabs>
        <w:ind w:left="4320" w:hanging="360"/>
      </w:pPr>
      <w:rPr>
        <w:rFonts w:ascii="Arial" w:hAnsi="Arial" w:hint="default"/>
      </w:rPr>
    </w:lvl>
    <w:lvl w:ilvl="6" w:tplc="19EE0D96" w:tentative="1">
      <w:start w:val="1"/>
      <w:numFmt w:val="bullet"/>
      <w:lvlText w:val="•"/>
      <w:lvlJc w:val="left"/>
      <w:pPr>
        <w:tabs>
          <w:tab w:val="num" w:pos="5040"/>
        </w:tabs>
        <w:ind w:left="5040" w:hanging="360"/>
      </w:pPr>
      <w:rPr>
        <w:rFonts w:ascii="Arial" w:hAnsi="Arial" w:hint="default"/>
      </w:rPr>
    </w:lvl>
    <w:lvl w:ilvl="7" w:tplc="72A0F820" w:tentative="1">
      <w:start w:val="1"/>
      <w:numFmt w:val="bullet"/>
      <w:lvlText w:val="•"/>
      <w:lvlJc w:val="left"/>
      <w:pPr>
        <w:tabs>
          <w:tab w:val="num" w:pos="5760"/>
        </w:tabs>
        <w:ind w:left="5760" w:hanging="360"/>
      </w:pPr>
      <w:rPr>
        <w:rFonts w:ascii="Arial" w:hAnsi="Arial" w:hint="default"/>
      </w:rPr>
    </w:lvl>
    <w:lvl w:ilvl="8" w:tplc="700613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4D2AD6"/>
    <w:multiLevelType w:val="hybridMultilevel"/>
    <w:tmpl w:val="2E3AD96A"/>
    <w:lvl w:ilvl="0" w:tplc="33580B50">
      <w:start w:val="1"/>
      <w:numFmt w:val="bullet"/>
      <w:lvlText w:val="•"/>
      <w:lvlJc w:val="left"/>
      <w:pPr>
        <w:tabs>
          <w:tab w:val="num" w:pos="720"/>
        </w:tabs>
        <w:ind w:left="720" w:hanging="360"/>
      </w:pPr>
      <w:rPr>
        <w:rFonts w:ascii="Arial" w:hAnsi="Arial" w:hint="default"/>
      </w:rPr>
    </w:lvl>
    <w:lvl w:ilvl="1" w:tplc="715E9B76" w:tentative="1">
      <w:start w:val="1"/>
      <w:numFmt w:val="bullet"/>
      <w:lvlText w:val="•"/>
      <w:lvlJc w:val="left"/>
      <w:pPr>
        <w:tabs>
          <w:tab w:val="num" w:pos="1440"/>
        </w:tabs>
        <w:ind w:left="1440" w:hanging="360"/>
      </w:pPr>
      <w:rPr>
        <w:rFonts w:ascii="Arial" w:hAnsi="Arial" w:hint="default"/>
      </w:rPr>
    </w:lvl>
    <w:lvl w:ilvl="2" w:tplc="A2EA722C" w:tentative="1">
      <w:start w:val="1"/>
      <w:numFmt w:val="bullet"/>
      <w:lvlText w:val="•"/>
      <w:lvlJc w:val="left"/>
      <w:pPr>
        <w:tabs>
          <w:tab w:val="num" w:pos="2160"/>
        </w:tabs>
        <w:ind w:left="2160" w:hanging="360"/>
      </w:pPr>
      <w:rPr>
        <w:rFonts w:ascii="Arial" w:hAnsi="Arial" w:hint="default"/>
      </w:rPr>
    </w:lvl>
    <w:lvl w:ilvl="3" w:tplc="9C2E0E72" w:tentative="1">
      <w:start w:val="1"/>
      <w:numFmt w:val="bullet"/>
      <w:lvlText w:val="•"/>
      <w:lvlJc w:val="left"/>
      <w:pPr>
        <w:tabs>
          <w:tab w:val="num" w:pos="2880"/>
        </w:tabs>
        <w:ind w:left="2880" w:hanging="360"/>
      </w:pPr>
      <w:rPr>
        <w:rFonts w:ascii="Arial" w:hAnsi="Arial" w:hint="default"/>
      </w:rPr>
    </w:lvl>
    <w:lvl w:ilvl="4" w:tplc="95403EBE" w:tentative="1">
      <w:start w:val="1"/>
      <w:numFmt w:val="bullet"/>
      <w:lvlText w:val="•"/>
      <w:lvlJc w:val="left"/>
      <w:pPr>
        <w:tabs>
          <w:tab w:val="num" w:pos="3600"/>
        </w:tabs>
        <w:ind w:left="3600" w:hanging="360"/>
      </w:pPr>
      <w:rPr>
        <w:rFonts w:ascii="Arial" w:hAnsi="Arial" w:hint="default"/>
      </w:rPr>
    </w:lvl>
    <w:lvl w:ilvl="5" w:tplc="8C74CCF6" w:tentative="1">
      <w:start w:val="1"/>
      <w:numFmt w:val="bullet"/>
      <w:lvlText w:val="•"/>
      <w:lvlJc w:val="left"/>
      <w:pPr>
        <w:tabs>
          <w:tab w:val="num" w:pos="4320"/>
        </w:tabs>
        <w:ind w:left="4320" w:hanging="360"/>
      </w:pPr>
      <w:rPr>
        <w:rFonts w:ascii="Arial" w:hAnsi="Arial" w:hint="default"/>
      </w:rPr>
    </w:lvl>
    <w:lvl w:ilvl="6" w:tplc="8146E66E" w:tentative="1">
      <w:start w:val="1"/>
      <w:numFmt w:val="bullet"/>
      <w:lvlText w:val="•"/>
      <w:lvlJc w:val="left"/>
      <w:pPr>
        <w:tabs>
          <w:tab w:val="num" w:pos="5040"/>
        </w:tabs>
        <w:ind w:left="5040" w:hanging="360"/>
      </w:pPr>
      <w:rPr>
        <w:rFonts w:ascii="Arial" w:hAnsi="Arial" w:hint="default"/>
      </w:rPr>
    </w:lvl>
    <w:lvl w:ilvl="7" w:tplc="98F0A246" w:tentative="1">
      <w:start w:val="1"/>
      <w:numFmt w:val="bullet"/>
      <w:lvlText w:val="•"/>
      <w:lvlJc w:val="left"/>
      <w:pPr>
        <w:tabs>
          <w:tab w:val="num" w:pos="5760"/>
        </w:tabs>
        <w:ind w:left="5760" w:hanging="360"/>
      </w:pPr>
      <w:rPr>
        <w:rFonts w:ascii="Arial" w:hAnsi="Arial" w:hint="default"/>
      </w:rPr>
    </w:lvl>
    <w:lvl w:ilvl="8" w:tplc="FC4A25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DB4F5A"/>
    <w:multiLevelType w:val="hybridMultilevel"/>
    <w:tmpl w:val="E3CEDE18"/>
    <w:lvl w:ilvl="0" w:tplc="AE40663C">
      <w:start w:val="1"/>
      <w:numFmt w:val="bullet"/>
      <w:lvlText w:val="•"/>
      <w:lvlJc w:val="left"/>
      <w:pPr>
        <w:ind w:left="809" w:hanging="360"/>
      </w:pPr>
      <w:rPr>
        <w:rFonts w:ascii="Arial" w:hAnsi="Arial" w:cs="Times New Roman"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78666F"/>
    <w:multiLevelType w:val="hybridMultilevel"/>
    <w:tmpl w:val="E31678D0"/>
    <w:lvl w:ilvl="0" w:tplc="52FE72BC">
      <w:start w:val="1"/>
      <w:numFmt w:val="bullet"/>
      <w:lvlText w:val="•"/>
      <w:lvlJc w:val="left"/>
      <w:pPr>
        <w:tabs>
          <w:tab w:val="num" w:pos="720"/>
        </w:tabs>
        <w:ind w:left="720" w:hanging="360"/>
      </w:pPr>
      <w:rPr>
        <w:rFonts w:ascii="Arial" w:hAnsi="Arial" w:hint="default"/>
      </w:rPr>
    </w:lvl>
    <w:lvl w:ilvl="1" w:tplc="224C2F20">
      <w:start w:val="1"/>
      <w:numFmt w:val="bullet"/>
      <w:lvlText w:val="•"/>
      <w:lvlJc w:val="left"/>
      <w:pPr>
        <w:tabs>
          <w:tab w:val="num" w:pos="1440"/>
        </w:tabs>
        <w:ind w:left="1440" w:hanging="360"/>
      </w:pPr>
      <w:rPr>
        <w:rFonts w:ascii="Arial" w:hAnsi="Arial" w:hint="default"/>
      </w:rPr>
    </w:lvl>
    <w:lvl w:ilvl="2" w:tplc="37D8C95E" w:tentative="1">
      <w:start w:val="1"/>
      <w:numFmt w:val="bullet"/>
      <w:lvlText w:val="•"/>
      <w:lvlJc w:val="left"/>
      <w:pPr>
        <w:tabs>
          <w:tab w:val="num" w:pos="2160"/>
        </w:tabs>
        <w:ind w:left="2160" w:hanging="360"/>
      </w:pPr>
      <w:rPr>
        <w:rFonts w:ascii="Arial" w:hAnsi="Arial" w:hint="default"/>
      </w:rPr>
    </w:lvl>
    <w:lvl w:ilvl="3" w:tplc="AE5A5A58" w:tentative="1">
      <w:start w:val="1"/>
      <w:numFmt w:val="bullet"/>
      <w:lvlText w:val="•"/>
      <w:lvlJc w:val="left"/>
      <w:pPr>
        <w:tabs>
          <w:tab w:val="num" w:pos="2880"/>
        </w:tabs>
        <w:ind w:left="2880" w:hanging="360"/>
      </w:pPr>
      <w:rPr>
        <w:rFonts w:ascii="Arial" w:hAnsi="Arial" w:hint="default"/>
      </w:rPr>
    </w:lvl>
    <w:lvl w:ilvl="4" w:tplc="34A2AC14" w:tentative="1">
      <w:start w:val="1"/>
      <w:numFmt w:val="bullet"/>
      <w:lvlText w:val="•"/>
      <w:lvlJc w:val="left"/>
      <w:pPr>
        <w:tabs>
          <w:tab w:val="num" w:pos="3600"/>
        </w:tabs>
        <w:ind w:left="3600" w:hanging="360"/>
      </w:pPr>
      <w:rPr>
        <w:rFonts w:ascii="Arial" w:hAnsi="Arial" w:hint="default"/>
      </w:rPr>
    </w:lvl>
    <w:lvl w:ilvl="5" w:tplc="1F60F638" w:tentative="1">
      <w:start w:val="1"/>
      <w:numFmt w:val="bullet"/>
      <w:lvlText w:val="•"/>
      <w:lvlJc w:val="left"/>
      <w:pPr>
        <w:tabs>
          <w:tab w:val="num" w:pos="4320"/>
        </w:tabs>
        <w:ind w:left="4320" w:hanging="360"/>
      </w:pPr>
      <w:rPr>
        <w:rFonts w:ascii="Arial" w:hAnsi="Arial" w:hint="default"/>
      </w:rPr>
    </w:lvl>
    <w:lvl w:ilvl="6" w:tplc="812E47E0" w:tentative="1">
      <w:start w:val="1"/>
      <w:numFmt w:val="bullet"/>
      <w:lvlText w:val="•"/>
      <w:lvlJc w:val="left"/>
      <w:pPr>
        <w:tabs>
          <w:tab w:val="num" w:pos="5040"/>
        </w:tabs>
        <w:ind w:left="5040" w:hanging="360"/>
      </w:pPr>
      <w:rPr>
        <w:rFonts w:ascii="Arial" w:hAnsi="Arial" w:hint="default"/>
      </w:rPr>
    </w:lvl>
    <w:lvl w:ilvl="7" w:tplc="C7906F10" w:tentative="1">
      <w:start w:val="1"/>
      <w:numFmt w:val="bullet"/>
      <w:lvlText w:val="•"/>
      <w:lvlJc w:val="left"/>
      <w:pPr>
        <w:tabs>
          <w:tab w:val="num" w:pos="5760"/>
        </w:tabs>
        <w:ind w:left="5760" w:hanging="360"/>
      </w:pPr>
      <w:rPr>
        <w:rFonts w:ascii="Arial" w:hAnsi="Arial" w:hint="default"/>
      </w:rPr>
    </w:lvl>
    <w:lvl w:ilvl="8" w:tplc="2ED05B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E72D4D"/>
    <w:multiLevelType w:val="hybridMultilevel"/>
    <w:tmpl w:val="3BF80D9C"/>
    <w:lvl w:ilvl="0" w:tplc="9BBAABD4">
      <w:start w:val="1"/>
      <w:numFmt w:val="bullet"/>
      <w:lvlText w:val="•"/>
      <w:lvlJc w:val="left"/>
      <w:pPr>
        <w:tabs>
          <w:tab w:val="num" w:pos="720"/>
        </w:tabs>
        <w:ind w:left="720" w:hanging="360"/>
      </w:pPr>
      <w:rPr>
        <w:rFonts w:ascii="Arial" w:hAnsi="Arial" w:hint="default"/>
      </w:rPr>
    </w:lvl>
    <w:lvl w:ilvl="1" w:tplc="8E0036C8">
      <w:start w:val="1"/>
      <w:numFmt w:val="bullet"/>
      <w:lvlText w:val="•"/>
      <w:lvlJc w:val="left"/>
      <w:pPr>
        <w:tabs>
          <w:tab w:val="num" w:pos="1440"/>
        </w:tabs>
        <w:ind w:left="1440" w:hanging="360"/>
      </w:pPr>
      <w:rPr>
        <w:rFonts w:ascii="Arial" w:hAnsi="Arial" w:hint="default"/>
      </w:rPr>
    </w:lvl>
    <w:lvl w:ilvl="2" w:tplc="11C4C98C" w:tentative="1">
      <w:start w:val="1"/>
      <w:numFmt w:val="bullet"/>
      <w:lvlText w:val="•"/>
      <w:lvlJc w:val="left"/>
      <w:pPr>
        <w:tabs>
          <w:tab w:val="num" w:pos="2160"/>
        </w:tabs>
        <w:ind w:left="2160" w:hanging="360"/>
      </w:pPr>
      <w:rPr>
        <w:rFonts w:ascii="Arial" w:hAnsi="Arial" w:hint="default"/>
      </w:rPr>
    </w:lvl>
    <w:lvl w:ilvl="3" w:tplc="77CC6D64" w:tentative="1">
      <w:start w:val="1"/>
      <w:numFmt w:val="bullet"/>
      <w:lvlText w:val="•"/>
      <w:lvlJc w:val="left"/>
      <w:pPr>
        <w:tabs>
          <w:tab w:val="num" w:pos="2880"/>
        </w:tabs>
        <w:ind w:left="2880" w:hanging="360"/>
      </w:pPr>
      <w:rPr>
        <w:rFonts w:ascii="Arial" w:hAnsi="Arial" w:hint="default"/>
      </w:rPr>
    </w:lvl>
    <w:lvl w:ilvl="4" w:tplc="22A208BA" w:tentative="1">
      <w:start w:val="1"/>
      <w:numFmt w:val="bullet"/>
      <w:lvlText w:val="•"/>
      <w:lvlJc w:val="left"/>
      <w:pPr>
        <w:tabs>
          <w:tab w:val="num" w:pos="3600"/>
        </w:tabs>
        <w:ind w:left="3600" w:hanging="360"/>
      </w:pPr>
      <w:rPr>
        <w:rFonts w:ascii="Arial" w:hAnsi="Arial" w:hint="default"/>
      </w:rPr>
    </w:lvl>
    <w:lvl w:ilvl="5" w:tplc="28828C68" w:tentative="1">
      <w:start w:val="1"/>
      <w:numFmt w:val="bullet"/>
      <w:lvlText w:val="•"/>
      <w:lvlJc w:val="left"/>
      <w:pPr>
        <w:tabs>
          <w:tab w:val="num" w:pos="4320"/>
        </w:tabs>
        <w:ind w:left="4320" w:hanging="360"/>
      </w:pPr>
      <w:rPr>
        <w:rFonts w:ascii="Arial" w:hAnsi="Arial" w:hint="default"/>
      </w:rPr>
    </w:lvl>
    <w:lvl w:ilvl="6" w:tplc="19EE0D96" w:tentative="1">
      <w:start w:val="1"/>
      <w:numFmt w:val="bullet"/>
      <w:lvlText w:val="•"/>
      <w:lvlJc w:val="left"/>
      <w:pPr>
        <w:tabs>
          <w:tab w:val="num" w:pos="5040"/>
        </w:tabs>
        <w:ind w:left="5040" w:hanging="360"/>
      </w:pPr>
      <w:rPr>
        <w:rFonts w:ascii="Arial" w:hAnsi="Arial" w:hint="default"/>
      </w:rPr>
    </w:lvl>
    <w:lvl w:ilvl="7" w:tplc="72A0F820" w:tentative="1">
      <w:start w:val="1"/>
      <w:numFmt w:val="bullet"/>
      <w:lvlText w:val="•"/>
      <w:lvlJc w:val="left"/>
      <w:pPr>
        <w:tabs>
          <w:tab w:val="num" w:pos="5760"/>
        </w:tabs>
        <w:ind w:left="5760" w:hanging="360"/>
      </w:pPr>
      <w:rPr>
        <w:rFonts w:ascii="Arial" w:hAnsi="Arial" w:hint="default"/>
      </w:rPr>
    </w:lvl>
    <w:lvl w:ilvl="8" w:tplc="700613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9"/>
  </w:num>
  <w:num w:numId="4">
    <w:abstractNumId w:val="41"/>
  </w:num>
  <w:num w:numId="5">
    <w:abstractNumId w:val="1"/>
  </w:num>
  <w:num w:numId="6">
    <w:abstractNumId w:val="40"/>
  </w:num>
  <w:num w:numId="7">
    <w:abstractNumId w:val="19"/>
  </w:num>
  <w:num w:numId="8">
    <w:abstractNumId w:val="33"/>
  </w:num>
  <w:num w:numId="9">
    <w:abstractNumId w:val="43"/>
  </w:num>
  <w:num w:numId="10">
    <w:abstractNumId w:val="14"/>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3"/>
  </w:num>
  <w:num w:numId="16">
    <w:abstractNumId w:val="9"/>
  </w:num>
  <w:num w:numId="17">
    <w:abstractNumId w:val="11"/>
  </w:num>
  <w:num w:numId="18">
    <w:abstractNumId w:val="22"/>
  </w:num>
  <w:num w:numId="19">
    <w:abstractNumId w:val="28"/>
  </w:num>
  <w:num w:numId="20">
    <w:abstractNumId w:val="26"/>
  </w:num>
  <w:num w:numId="21">
    <w:abstractNumId w:val="16"/>
  </w:num>
  <w:num w:numId="22">
    <w:abstractNumId w:val="6"/>
  </w:num>
  <w:num w:numId="23">
    <w:abstractNumId w:val="25"/>
  </w:num>
  <w:num w:numId="24">
    <w:abstractNumId w:val="39"/>
  </w:num>
  <w:num w:numId="25">
    <w:abstractNumId w:val="9"/>
  </w:num>
  <w:num w:numId="26">
    <w:abstractNumId w:val="38"/>
  </w:num>
  <w:num w:numId="27">
    <w:abstractNumId w:val="37"/>
  </w:num>
  <w:num w:numId="28">
    <w:abstractNumId w:val="20"/>
  </w:num>
  <w:num w:numId="29">
    <w:abstractNumId w:val="42"/>
  </w:num>
  <w:num w:numId="30">
    <w:abstractNumId w:val="30"/>
  </w:num>
  <w:num w:numId="31">
    <w:abstractNumId w:val="18"/>
  </w:num>
  <w:num w:numId="32">
    <w:abstractNumId w:val="34"/>
  </w:num>
  <w:num w:numId="33">
    <w:abstractNumId w:val="7"/>
  </w:num>
  <w:num w:numId="34">
    <w:abstractNumId w:val="10"/>
  </w:num>
  <w:num w:numId="35">
    <w:abstractNumId w:val="35"/>
  </w:num>
  <w:num w:numId="36">
    <w:abstractNumId w:val="21"/>
  </w:num>
  <w:num w:numId="37">
    <w:abstractNumId w:val="8"/>
  </w:num>
  <w:num w:numId="38">
    <w:abstractNumId w:val="32"/>
  </w:num>
  <w:num w:numId="39">
    <w:abstractNumId w:val="4"/>
  </w:num>
  <w:num w:numId="40">
    <w:abstractNumId w:val="27"/>
  </w:num>
  <w:num w:numId="41">
    <w:abstractNumId w:val="17"/>
  </w:num>
  <w:num w:numId="42">
    <w:abstractNumId w:val="15"/>
  </w:num>
  <w:num w:numId="43">
    <w:abstractNumId w:val="23"/>
  </w:num>
  <w:num w:numId="44">
    <w:abstractNumId w:val="12"/>
  </w:num>
  <w:num w:numId="45">
    <w:abstractNumId w:val="36"/>
  </w:num>
  <w:num w:numId="46">
    <w:abstractNumId w:val="3"/>
  </w:num>
  <w:num w:numId="47">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C04"/>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9F"/>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5A4"/>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9FB"/>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3E0C"/>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1FD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D33"/>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D90"/>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61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24"/>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4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0CD"/>
    <w:rsid w:val="007B27C2"/>
    <w:rsid w:val="007B2FBF"/>
    <w:rsid w:val="007B34A4"/>
    <w:rsid w:val="007B3C0B"/>
    <w:rsid w:val="007B3E3C"/>
    <w:rsid w:val="007B3E89"/>
    <w:rsid w:val="007B692F"/>
    <w:rsid w:val="007B74A3"/>
    <w:rsid w:val="007B75FE"/>
    <w:rsid w:val="007B7688"/>
    <w:rsid w:val="007B7756"/>
    <w:rsid w:val="007B7A34"/>
    <w:rsid w:val="007B7C33"/>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A42"/>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92D"/>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E94"/>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4B7"/>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1F8E"/>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DB7"/>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4E10"/>
    <w:rsid w:val="00C358D9"/>
    <w:rsid w:val="00C35942"/>
    <w:rsid w:val="00C35AC5"/>
    <w:rsid w:val="00C36E28"/>
    <w:rsid w:val="00C379A7"/>
    <w:rsid w:val="00C37F40"/>
    <w:rsid w:val="00C40CE0"/>
    <w:rsid w:val="00C40FA1"/>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5DC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637"/>
    <w:rsid w:val="00E63B3F"/>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A60"/>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B7D7B"/>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572"/>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6B2"/>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51F"/>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1DB"/>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B27DEF2-6070-4EE6-BB6A-5DB9095FB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2694">
      <w:bodyDiv w:val="1"/>
      <w:marLeft w:val="0"/>
      <w:marRight w:val="0"/>
      <w:marTop w:val="0"/>
      <w:marBottom w:val="0"/>
      <w:divBdr>
        <w:top w:val="none" w:sz="0" w:space="0" w:color="auto"/>
        <w:left w:val="none" w:sz="0" w:space="0" w:color="auto"/>
        <w:bottom w:val="none" w:sz="0" w:space="0" w:color="auto"/>
        <w:right w:val="none" w:sz="0" w:space="0" w:color="auto"/>
      </w:divBdr>
    </w:div>
    <w:div w:id="261298775">
      <w:bodyDiv w:val="1"/>
      <w:marLeft w:val="0"/>
      <w:marRight w:val="0"/>
      <w:marTop w:val="0"/>
      <w:marBottom w:val="0"/>
      <w:divBdr>
        <w:top w:val="none" w:sz="0" w:space="0" w:color="auto"/>
        <w:left w:val="none" w:sz="0" w:space="0" w:color="auto"/>
        <w:bottom w:val="none" w:sz="0" w:space="0" w:color="auto"/>
        <w:right w:val="none" w:sz="0" w:space="0" w:color="auto"/>
      </w:divBdr>
      <w:divsChild>
        <w:div w:id="213009582">
          <w:marLeft w:val="1080"/>
          <w:marRight w:val="0"/>
          <w:marTop w:val="100"/>
          <w:marBottom w:val="0"/>
          <w:divBdr>
            <w:top w:val="none" w:sz="0" w:space="0" w:color="auto"/>
            <w:left w:val="none" w:sz="0" w:space="0" w:color="auto"/>
            <w:bottom w:val="none" w:sz="0" w:space="0" w:color="auto"/>
            <w:right w:val="none" w:sz="0" w:space="0" w:color="auto"/>
          </w:divBdr>
        </w:div>
        <w:div w:id="327943876">
          <w:marLeft w:val="1080"/>
          <w:marRight w:val="0"/>
          <w:marTop w:val="100"/>
          <w:marBottom w:val="0"/>
          <w:divBdr>
            <w:top w:val="none" w:sz="0" w:space="0" w:color="auto"/>
            <w:left w:val="none" w:sz="0" w:space="0" w:color="auto"/>
            <w:bottom w:val="none" w:sz="0" w:space="0" w:color="auto"/>
            <w:right w:val="none" w:sz="0" w:space="0" w:color="auto"/>
          </w:divBdr>
        </w:div>
        <w:div w:id="1224022125">
          <w:marLeft w:val="1080"/>
          <w:marRight w:val="0"/>
          <w:marTop w:val="100"/>
          <w:marBottom w:val="0"/>
          <w:divBdr>
            <w:top w:val="none" w:sz="0" w:space="0" w:color="auto"/>
            <w:left w:val="none" w:sz="0" w:space="0" w:color="auto"/>
            <w:bottom w:val="none" w:sz="0" w:space="0" w:color="auto"/>
            <w:right w:val="none" w:sz="0" w:space="0" w:color="auto"/>
          </w:divBdr>
        </w:div>
        <w:div w:id="1420446575">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90807867">
      <w:bodyDiv w:val="1"/>
      <w:marLeft w:val="0"/>
      <w:marRight w:val="0"/>
      <w:marTop w:val="0"/>
      <w:marBottom w:val="0"/>
      <w:divBdr>
        <w:top w:val="none" w:sz="0" w:space="0" w:color="auto"/>
        <w:left w:val="none" w:sz="0" w:space="0" w:color="auto"/>
        <w:bottom w:val="none" w:sz="0" w:space="0" w:color="auto"/>
        <w:right w:val="none" w:sz="0" w:space="0" w:color="auto"/>
      </w:divBdr>
      <w:divsChild>
        <w:div w:id="41757010">
          <w:marLeft w:val="1080"/>
          <w:marRight w:val="0"/>
          <w:marTop w:val="100"/>
          <w:marBottom w:val="0"/>
          <w:divBdr>
            <w:top w:val="none" w:sz="0" w:space="0" w:color="auto"/>
            <w:left w:val="none" w:sz="0" w:space="0" w:color="auto"/>
            <w:bottom w:val="none" w:sz="0" w:space="0" w:color="auto"/>
            <w:right w:val="none" w:sz="0" w:space="0" w:color="auto"/>
          </w:divBdr>
        </w:div>
        <w:div w:id="372193804">
          <w:marLeft w:val="1080"/>
          <w:marRight w:val="0"/>
          <w:marTop w:val="100"/>
          <w:marBottom w:val="0"/>
          <w:divBdr>
            <w:top w:val="none" w:sz="0" w:space="0" w:color="auto"/>
            <w:left w:val="none" w:sz="0" w:space="0" w:color="auto"/>
            <w:bottom w:val="none" w:sz="0" w:space="0" w:color="auto"/>
            <w:right w:val="none" w:sz="0" w:space="0" w:color="auto"/>
          </w:divBdr>
        </w:div>
        <w:div w:id="1235582331">
          <w:marLeft w:val="1080"/>
          <w:marRight w:val="0"/>
          <w:marTop w:val="100"/>
          <w:marBottom w:val="0"/>
          <w:divBdr>
            <w:top w:val="none" w:sz="0" w:space="0" w:color="auto"/>
            <w:left w:val="none" w:sz="0" w:space="0" w:color="auto"/>
            <w:bottom w:val="none" w:sz="0" w:space="0" w:color="auto"/>
            <w:right w:val="none" w:sz="0" w:space="0" w:color="auto"/>
          </w:divBdr>
        </w:div>
        <w:div w:id="1284189350">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83402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287191">
      <w:bodyDiv w:val="1"/>
      <w:marLeft w:val="0"/>
      <w:marRight w:val="0"/>
      <w:marTop w:val="0"/>
      <w:marBottom w:val="0"/>
      <w:divBdr>
        <w:top w:val="none" w:sz="0" w:space="0" w:color="auto"/>
        <w:left w:val="none" w:sz="0" w:space="0" w:color="auto"/>
        <w:bottom w:val="none" w:sz="0" w:space="0" w:color="auto"/>
        <w:right w:val="none" w:sz="0" w:space="0" w:color="auto"/>
      </w:divBdr>
      <w:divsChild>
        <w:div w:id="1299262125">
          <w:marLeft w:val="360"/>
          <w:marRight w:val="0"/>
          <w:marTop w:val="200"/>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373671">
      <w:bodyDiv w:val="1"/>
      <w:marLeft w:val="0"/>
      <w:marRight w:val="0"/>
      <w:marTop w:val="0"/>
      <w:marBottom w:val="0"/>
      <w:divBdr>
        <w:top w:val="none" w:sz="0" w:space="0" w:color="auto"/>
        <w:left w:val="none" w:sz="0" w:space="0" w:color="auto"/>
        <w:bottom w:val="none" w:sz="0" w:space="0" w:color="auto"/>
        <w:right w:val="none" w:sz="0" w:space="0" w:color="auto"/>
      </w:divBdr>
      <w:divsChild>
        <w:div w:id="507326589">
          <w:marLeft w:val="360"/>
          <w:marRight w:val="0"/>
          <w:marTop w:val="200"/>
          <w:marBottom w:val="0"/>
          <w:divBdr>
            <w:top w:val="none" w:sz="0" w:space="0" w:color="auto"/>
            <w:left w:val="none" w:sz="0" w:space="0" w:color="auto"/>
            <w:bottom w:val="none" w:sz="0" w:space="0" w:color="auto"/>
            <w:right w:val="none" w:sz="0" w:space="0" w:color="auto"/>
          </w:divBdr>
        </w:div>
      </w:divsChild>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627776">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544315">
      <w:bodyDiv w:val="1"/>
      <w:marLeft w:val="0"/>
      <w:marRight w:val="0"/>
      <w:marTop w:val="0"/>
      <w:marBottom w:val="0"/>
      <w:divBdr>
        <w:top w:val="none" w:sz="0" w:space="0" w:color="auto"/>
        <w:left w:val="none" w:sz="0" w:space="0" w:color="auto"/>
        <w:bottom w:val="none" w:sz="0" w:space="0" w:color="auto"/>
        <w:right w:val="none" w:sz="0" w:space="0" w:color="auto"/>
      </w:divBdr>
      <w:divsChild>
        <w:div w:id="1777359011">
          <w:marLeft w:val="360"/>
          <w:marRight w:val="0"/>
          <w:marTop w:val="2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63201-815E-4A42-B3DF-D4D6FA8A4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2020-08-07T21:19:00Z</dcterms:created>
  <dcterms:modified xsi:type="dcterms:W3CDTF">2020-08-07T21:19:00Z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(3)pEQW3hZHJa2wu40+oswBaeYy8MBWKogUAcvn6we9bnFgsjkmGDYzkrFnTQwQGRkRGzcvdbm1
HJQZNRQRxKpLP9KiU8nYLKYzoNOrmOqjkvjMyrTxFzPeJ60nor1wgkRrF+vGVjJEvjIvTLMR
eI1G7lGw2exd9mwM2jeU9cCCp4UOFkXDqeBQ7JfMpLSMxb/+IAtjFSd6JGVK2v1cLngGkxoq
6Tq7z5HV63xioLWP1t</vt:lpwstr>
  </property>
  <property fmtid="{D5CDD505-2E9C-101B-9397-08002B2CF9AE}" pid="15" name="_2015_ms_pID_725343_00">
    <vt:lpwstr>_2015_ms_pID_725343</vt:lpwstr>
  </property>
  <property fmtid="{D5CDD505-2E9C-101B-9397-08002B2CF9AE}" pid="16" name="_2015_ms_pID_7253431">
    <vt:lpwstr>Xy56qR6+F17YQqEPPb23D8qvcPTKsSQdIuEqCAxHkBwii9pV0w1mFB
x57/fJaX6AWRwEDxcKeMaA/HWba6n7av52qB+GVNX3zxIBfZQJQfSBm2Sx/mDg+TOJQp/oeJ
mmR3hP+LeWqJ0FWlwD7jLWz9ZE/pyNoV6JsPbICVGQ13Uw3O+CalUt/RZ0v07yLSBDLEDKU/
RmAKmadUp/1asnxd3fWnLc8sMUviPV7lANSs</vt:lpwstr>
  </property>
  <property fmtid="{D5CDD505-2E9C-101B-9397-08002B2CF9AE}" pid="17" name="_2015_ms_pID_7253431_00">
    <vt:lpwstr>_2015_ms_pID_7253431</vt:lpwstr>
  </property>
  <property fmtid="{D5CDD505-2E9C-101B-9397-08002B2CF9AE}" pid="18" name="_2015_ms_pID_7253432">
    <vt:lpwstr>9h8Bk73R2oeLzwbrDYaRcxA=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